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7690b746e6f44af1"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19206</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TEHNIČKA ŠKOLA ČAKOVEC</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31</w:t>
            </w:r>
          </w:p>
        </w:tc>
      </w:tr>
    </w:tbl>
    <w:p>
      <w:r>
        <w:br/>
      </w:r>
    </w:p>
    <w:p>
      <w:pPr>
        <w:jc w:val="center"/>
        <w:pStyle w:val="Normal"/>
        <w:spacing w:line="240" w:lineRule="auto"/>
      </w:pPr>
      <w:r>
        <w:rPr>
          <w:b/>
          <w:sz w:val="28"/>
          <w:rFonts w:ascii="Times New Roman" w:hAnsi="Times New Roman"/>
        </w:rPr>
        <w:t xml:space="preserve">BILJEŠKE UZ FINANCIJSKE IZVJEŠTAJE</w:t>
      </w:r>
    </w:p>
    <w:p>
      <w:pPr>
        <w:jc w:val="center"/>
        <w:pStyle w:val="Normal"/>
        <w:spacing w:line="240" w:lineRule="auto"/>
      </w:pPr>
      <w:r>
        <w:rPr>
          <w:b/>
          <w:sz w:val="28"/>
          <w:rFonts w:ascii="Times New Roman" w:hAnsi="Times New Roman"/>
        </w:rPr>
        <w:t xml:space="preserve">ZA RAZDOBLJE</w:t>
      </w:r>
    </w:p>
    <w:p>
      <w:pPr>
        <w:jc w:val="center"/>
        <w:pStyle w:val="Normal"/>
        <w:spacing w:line="240" w:lineRule="auto"/>
      </w:pPr>
      <w:r>
        <w:rPr>
          <w:b/>
          <w:sz w:val="28"/>
          <w:rFonts w:ascii="Times New Roman" w:hAnsi="Times New Roman"/>
        </w:rPr>
        <w:t xml:space="preserve">I - VI 2026.</w:t>
      </w:r>
    </w:p>
    <w:p/>
    <w:p>
      <w:pPr>
        <w:jc w:val="center"/>
        <w:pStyle w:val="Normal"/>
        <w:spacing w:line="240" w:lineRule="auto"/>
        <w:keepNext/>
      </w:pPr>
      <w:r>
        <w:rPr>
          <w:b/>
          <w:sz w:val="28"/>
          <w:rFonts w:ascii="Times New Roman" w:hAnsi="Times New Roman"/>
        </w:rPr>
        <w:t xml:space="preserve">Izvještaj o prihodima i rashodima, primicima i izdacima</w:t>
      </w:r>
    </w:p>
    <w:p>
      <w:pPr>
        <w:jc w:val="center"/>
        <w:pStyle w:val="Normal"/>
        <w:spacing w:line="240" w:lineRule="auto"/>
        <w:keepNext/>
      </w:pPr>
      <w:r>
        <w:rPr>
          <w:sz w:val="28"/>
          <w:rFonts w:ascii="Times New Roman" w:hAnsi="Times New Roman"/>
        </w:rPr>
        <w:t xml:space="preserve">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1.602.846,10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1.709.883,34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106,7</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1.805.224,42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1.728.618,77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95,8</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POSLOVANJA (šifre Z005-6)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202.378,32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18.735,43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9,3</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15.980,77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4.024,16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25,2</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15.980,77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3.824,16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23,9</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VIŠAK/MANJAK PRIMITAKA OD FINANCIJSKE IMOVINE I ZADUŽIVANJA (šifre 8-5, 5-8)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X003, Y003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I PRIMITAKA (šifre Y345-X678)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218.359,09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22.559,59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10,3</w:t>
            </w:r>
          </w:p>
        </w:tc>
      </w:tr>
    </w:tbl>
    <w:p>
      <w:pPr>
        <w:spacing w:before="0" w:after="0"/>
      </w:pPr>
    </w:p>
    <w:p>
      <w:r>
        <w:t xml:space="preserve">U razdoblju od 1. siječnja do 30. lipnja 2026. godine prihodi poslovanja Tehničke škole Čakovec ostvareni su u iznosu od 1.709.883,34 eura, što predstavlja povećanje od 6,7 % u odnosu na isto izvještajno razdoblje prethodne godine. U odnosu na isto izvještajno razdoblje prethodne godine ostvareno je povećanje prihoda poslovanja, dok je istodobno zabilježeno smanjenje prihoda od donacija i prihoda od pruženih usluga.</w:t>
      </w:r>
    </w:p>
    <w:p>
      <w:r>
        <w:t xml:space="preserve">Rashodi poslovanja u istom razdoblju ostvareni su u iznosu od 1.728.618,77 eura. U odnosu na prethodnu godinu povećani su materijalni rashodi, ponajprije rashodi za naknade troškova zaposlenima te ostali nespomenuti rashodi poslovanja, dok su rashodi za zaposlene manji u odnosu na isto izvještajno razdoblje prethodne godine.</w:t>
      </w:r>
    </w:p>
    <w:p>
      <w:r>
        <w:t xml:space="preserve">U izvještajnom razdoblju ostvareni su prihodi od prodaje nefinancijske imovine u iznosu od 200,00 eura, dok su rashodi za nabavu nefinancijske imovine ostvareni u iznosu od 4.024,16 eura, a odnose se na nabavu dugotrajne nefinancijske imovine za potrebe redovnog poslovanja škole.</w:t>
      </w:r>
    </w:p>
    <w:p>
      <w:r>
        <w:t xml:space="preserve">U navedenom razdoblju nije bilo ostvarenih primitaka niti izdataka od financijske imovine i zaduživanja.</w:t>
      </w:r>
    </w:p>
    <w:p>
      <w:r>
        <w:t xml:space="preserve">Tehnička škola Čakovec ostvarila je ukupne prihode i primitke u iznosu od 1.710.083,34 eura, dok su ukupni rashodi i izdaci iznosili 1.732.642,93 eura, te je iskazan manjak prihoda i primitaka u iznosu od 22.559,59 eura.</w:t>
      </w:r>
    </w:p>
    <w:p>
      <w:r>
        <w:t xml:space="preserve">S obzirom da je iz prethodnog razdoblja prenesen manjak prihoda i primitaka u iznosu od 102.509,43 eura, manjak prihoda i primitaka za pokriće u sljedećem razdoblju iznosi 125.069,02 eura.</w:t>
      </w:r>
    </w:p>
    <w:p>
      <w:r>
        <w:br/>
      </w:r>
    </w:p>
    <w:p>
      <w:pPr>
        <w:jc w:val="center"/>
        <w:pStyle w:val="Normal"/>
        <w:spacing w:line="240" w:lineRule="auto"/>
        <w:keepNext/>
      </w:pPr>
      <w:r>
        <w:rPr>
          <w:sz w:val="28"/>
          <w:rFonts w:ascii="Times New Roman" w:hAnsi="Times New Roman"/>
        </w:rPr>
        <w:t xml:space="preserve">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Donacije od pravnih i fizičkih osoba izvan općeg proračuna te povrat donacija i kapitalnih pomoći po protestiranim jamstvima (šifre 6631 do 6634)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15.870,00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9.160,00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57,7</w:t>
            </w:r>
          </w:p>
        </w:tc>
      </w:tr>
    </w:tbl>
    <w:p>
      <w:pPr>
        <w:spacing w:before="0" w:after="0"/>
      </w:pPr>
    </w:p>
    <w:p>
      <w:r>
        <w:t xml:space="preserve">Prihodi od tekućih donacija ostvareni su u iznosu od 9.160,00 eura, što je 42,3 % manje u odnosu na isto izvještajno razdoblje prethodne godine. Smanjenje prihoda posljedica je činjenice da je tijekom istog razdoblja 2025. godine Škola provodila projekt financiran sredstvima Erste banke, čija su sredstva evidentirana u okviru tekućih donacija. U izvještajnom razdoblju 2026. godine takvih donacija nije bilo, zbog čega su prihodi na ovoj stavci manji.</w:t>
      </w:r>
    </w:p>
    <w:p/>
    <w:p>
      <w:pPr>
        <w:jc w:val="center"/>
        <w:pStyle w:val="Normal"/>
        <w:spacing w:line="240" w:lineRule="auto"/>
        <w:keepNext/>
      </w:pPr>
      <w:r>
        <w:rPr>
          <w:sz w:val="28"/>
          <w:rFonts w:ascii="Times New Roman" w:hAnsi="Times New Roman"/>
        </w:rPr>
        <w:t xml:space="preserve">Bilješka 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iz nadležnog proračuna i od HZZO-a na temelju ugovornih obveza (šifre 671+673)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97.340,83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126.879,05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130,3</w:t>
            </w:r>
          </w:p>
        </w:tc>
      </w:tr>
    </w:tbl>
    <w:p>
      <w:pPr>
        <w:spacing w:before="0" w:after="0"/>
      </w:pPr>
    </w:p>
    <w:p>
      <w:r>
        <w:t xml:space="preserve">Prihodi iz nadležnog proračuna za financiranje rashoda poslovanja ostvareni su u iznosu od 126.879,05 eura, što predstavlja povećanje od 30,3 % u odnosu na isto izvještajno razdoblje prethodne godine. Povećanje prihoda posljedica je većeg izvršenja rashoda koji se financiraju decentraliziranim sredstvima Međimurske županije, ponajprije zbog povećanih troškova prijevoza zaposlenika (oko 5.000,00 eura više u odnosu na isto razdoblje prethodne godine), uslijed zapošljavanja djelatnika iz udaljenijih mjesta, kao i većih rashoda za energiju (oko 3.000,00 eura) te ostalih rashoda redovnog poslovanja.</w:t>
      </w:r>
    </w:p>
    <w:p/>
    <w:p>
      <w:pPr>
        <w:jc w:val="center"/>
        <w:pStyle w:val="Normal"/>
        <w:spacing w:line="240" w:lineRule="auto"/>
        <w:keepNext/>
      </w:pPr>
      <w:r>
        <w:rPr>
          <w:sz w:val="28"/>
          <w:rFonts w:ascii="Times New Roman" w:hAnsi="Times New Roman"/>
        </w:rPr>
        <w:t xml:space="preserve">Bilješka 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Plaće za prekovremeni rad</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49.068,82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70.099,36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142,9</w:t>
            </w:r>
          </w:p>
        </w:tc>
      </w:tr>
    </w:tbl>
    <w:p>
      <w:pPr>
        <w:spacing w:before="0" w:after="0"/>
      </w:pPr>
    </w:p>
    <w:p>
      <w:r>
        <w:t xml:space="preserve">Rashodi za plaće za prekovremeni rad povećani su u odnosu na isto razdoblje prethodne godine zbog većeg broja zamjena odsutnih zaposlenika, provedbe natjecanja i ostalih aktivnosti koje su zahtijevale prekovremeni rad zaposlenika.</w:t>
      </w:r>
    </w:p>
    <w:p/>
    <w:p>
      <w:pPr>
        <w:jc w:val="center"/>
        <w:pStyle w:val="Normal"/>
        <w:spacing w:line="240" w:lineRule="auto"/>
        <w:keepNext/>
      </w:pPr>
      <w:r>
        <w:rPr>
          <w:sz w:val="28"/>
          <w:rFonts w:ascii="Times New Roman" w:hAnsi="Times New Roman"/>
        </w:rPr>
        <w:t xml:space="preserve">Bilješka 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troškova zaposlenima (šifre 3211 do 3214)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46.360,06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56.912,59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122,8</w:t>
            </w:r>
          </w:p>
        </w:tc>
      </w:tr>
    </w:tbl>
    <w:p>
      <w:pPr>
        <w:spacing w:before="0" w:after="0"/>
      </w:pPr>
    </w:p>
    <w:p>
      <w:r>
        <w:t xml:space="preserve">Rashodi za naknade troškova zaposlenima povećani su ponajprije zbog većih troškova službenih putovanja, naknada za prijevoz zaposlenika te stručnog usavršavanja. Povećanje troškova prijevoza najvećim je dijelom posljedica zapošljavanja novih djelatnika koji svakodnevno putuju iz udaljenijih mjesta.</w:t>
      </w:r>
    </w:p>
    <w:p/>
    <w:p>
      <w:pPr>
        <w:jc w:val="center"/>
        <w:pStyle w:val="Normal"/>
        <w:spacing w:line="240" w:lineRule="auto"/>
        <w:keepNext/>
      </w:pPr>
      <w:r>
        <w:rPr>
          <w:sz w:val="28"/>
          <w:rFonts w:ascii="Times New Roman" w:hAnsi="Times New Roman"/>
        </w:rPr>
        <w:t xml:space="preserve">Bilješka 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Energija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24.432,63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27.019,09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110,6</w:t>
            </w:r>
          </w:p>
        </w:tc>
      </w:tr>
    </w:tbl>
    <w:p>
      <w:pPr>
        <w:spacing w:before="0" w:after="0"/>
      </w:pPr>
    </w:p>
    <w:p>
      <w:r>
        <w:t xml:space="preserve">Rashodi za energiju povećani su za oko 3.000,00 eura u odnosu na isto izvještajno razdoblje prethodne godine, što je posljedica povećane potrošnje energije tijekom izvještajnog razdoblja.</w:t>
      </w:r>
    </w:p>
    <w:p/>
    <w:p>
      <w:pPr>
        <w:jc w:val="center"/>
        <w:pStyle w:val="Normal"/>
        <w:spacing w:line="240" w:lineRule="auto"/>
        <w:keepNext/>
      </w:pPr>
      <w:r>
        <w:rPr>
          <w:sz w:val="28"/>
          <w:rFonts w:ascii="Times New Roman" w:hAnsi="Times New Roman"/>
        </w:rPr>
        <w:t xml:space="preserve">Bilješka 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Usluge tekućeg i investicijskog održavanja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4.033,54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1.126,33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27,9</w:t>
            </w:r>
          </w:p>
        </w:tc>
      </w:tr>
    </w:tbl>
    <w:p>
      <w:pPr>
        <w:spacing w:before="0" w:after="0"/>
      </w:pPr>
    </w:p>
    <w:p>
      <w:r>
        <w:t xml:space="preserve">Rashodi za usluge tekućeg i investicijskog održavanja manji su u odnosu na isto razdoblje prethodne godine jer tijekom izvještajnog razdoblja nije bilo većih izvanrednih kvarova i radova na održavanju školskih objekata.</w:t>
      </w:r>
    </w:p>
    <w:p/>
    <w:p>
      <w:pPr>
        <w:jc w:val="center"/>
        <w:pStyle w:val="Normal"/>
        <w:spacing w:line="240" w:lineRule="auto"/>
        <w:keepNext/>
      </w:pPr>
      <w:r>
        <w:rPr>
          <w:sz w:val="28"/>
          <w:rFonts w:ascii="Times New Roman" w:hAnsi="Times New Roman"/>
        </w:rPr>
        <w:t xml:space="preserve">Bilješka 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Zdravstvene i veterinarske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5.793,00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Rashodi za zdravstvene usluge ostvareni su u izvještajnom razdoblju u iznosu od 5.793,00 eura, dok u istom razdoblju prethodne godine nisu bili evidentirani. Povećanje rashoda posljedica je provođenja sistematskih pregleda zaposlenika, koji su u prethodnom ciklusu bili provedeni u drugoj polovici 2025. godine, dok su u tekućem izvještajnom razdoblju provedeni u prvoj polovici 2026. godine.</w:t>
      </w:r>
    </w:p>
    <w:p/>
    <w:p>
      <w:pPr>
        <w:jc w:val="center"/>
        <w:pStyle w:val="Normal"/>
        <w:spacing w:line="240" w:lineRule="auto"/>
        <w:keepNext/>
      </w:pPr>
      <w:r>
        <w:rPr>
          <w:sz w:val="28"/>
          <w:rFonts w:ascii="Times New Roman" w:hAnsi="Times New Roman"/>
        </w:rPr>
        <w:t xml:space="preserve">Bilješka 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2.193,01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5.617,09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256,1</w:t>
            </w:r>
          </w:p>
        </w:tc>
      </w:tr>
    </w:tbl>
    <w:p>
      <w:pPr>
        <w:spacing w:before="0" w:after="0"/>
      </w:pPr>
    </w:p>
    <w:p>
      <w:r>
        <w:t xml:space="preserve">Rashodi za ostale usluge ostvareni su u iznosu od 5.617,09 eura te su u odnosu na isto izvještajno razdoblje prethodne godine veći za 156,1 %. Povećanje rashoda najvećim je dijelom posljedica provedbe aktivnosti projekta „Škola i zajednica (ŠIZ)”, organizacije Proljetnog kampa učenika osnovnih škola te aktivnosti vezanih uz organizaciju Coolijade, na kojoj je Tehnička škola Čakovec bila domaćin maturantima svih srednjih škola Međimurske županije.</w:t>
      </w:r>
    </w:p>
    <w:p/>
    <w:p>
      <w:pPr>
        <w:jc w:val="center"/>
        <w:pStyle w:val="Normal"/>
        <w:spacing w:line="240" w:lineRule="auto"/>
        <w:keepNext/>
      </w:pPr>
      <w:r>
        <w:rPr>
          <w:sz w:val="28"/>
          <w:rFonts w:ascii="Times New Roman" w:hAnsi="Times New Roman"/>
        </w:rPr>
        <w:t xml:space="preserve">Bilješka 10.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Reprezentacija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2.513,59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4.973,17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197,9</w:t>
            </w:r>
          </w:p>
        </w:tc>
      </w:tr>
    </w:tbl>
    <w:p>
      <w:pPr>
        <w:spacing w:before="0" w:after="0"/>
      </w:pPr>
    </w:p>
    <w:p>
      <w:r>
        <w:t xml:space="preserve">Rashodi za reprezentaciju povećani su u odnosu na isto izvještajno razdoblje prethodne godine prvenstveno zbog organizacije Coolijade, na kojoj je Tehnička škola Čakovec bila domaćin maturantima svih srednjih škola Međimurske županije, što je rezultiralo većim rashodima za reprezentaciju.</w:t>
      </w:r>
    </w:p>
    <w:p/>
    <w:p>
      <w:pPr>
        <w:jc w:val="center"/>
        <w:pStyle w:val="Normal"/>
        <w:spacing w:line="240" w:lineRule="auto"/>
        <w:keepNext/>
      </w:pPr>
      <w:r>
        <w:rPr>
          <w:b/>
          <w:sz w:val="28"/>
          <w:rFonts w:ascii="Times New Roman" w:hAnsi="Times New Roman"/>
        </w:rPr>
        <w:t xml:space="preserve">Izvještaj o obvezama</w:t>
      </w:r>
    </w:p>
    <w:p>
      <w:pPr>
        <w:jc w:val="center"/>
        <w:pStyle w:val="Normal"/>
        <w:spacing w:line="240" w:lineRule="auto"/>
        <w:keepNext/>
      </w:pPr>
      <w:r>
        <w:rPr>
          <w:sz w:val="28"/>
          <w:rFonts w:ascii="Times New Roman" w:hAnsi="Times New Roman"/>
        </w:rPr>
        <w:t xml:space="preserve">Bilješka 11.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5.869,20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Stanje obveza Tehničke škole Čakovec na dan 1. siječnja 2026. godine iznosilo je 375.225,54 eura.</w:t>
      </w:r>
    </w:p>
    <w:p>
      <w:r>
        <w:t xml:space="preserve">Tijekom izvještajnog razdoblja evidentirano je povećanje obveza u iznosu od 1.841.865,02 eura, koje se najvećim dijelom odnosi na obveze za rashode poslovanja, prvenstveno obveze za zaposlene i obveze za materijalne rashode nastale u okviru redovnog poslovanja škole.</w:t>
      </w:r>
    </w:p>
    <w:p>
      <w:r>
        <w:t xml:space="preserve">U istom razdoblju podmirene su obveze u ukupnom iznosu od 1.815.194,54 eura, čime je osigurano redovito izvršavanje dospjelih obveza. Stanje obveza na kraju izvještajnog razdoblja, na dan 30. lipnja 2026. godine, iznosi 401.896,02 eura.</w:t>
      </w:r>
    </w:p>
    <w:p>
      <w:r>
        <w:t xml:space="preserve">Od ukupnog iznosa obveza na kraju izvještajnog razdoblja, dospjele obveze iznose 5.869,20 eura, a odnose se isključivo na obveze za financijske rashode, odnosno obračunate kamate po projektu Regionalni centar kompetentnosti (RCK). Nedospjele obveze u iznosu od 396.026,82 eura najvećim se dijelom odnose na obveze za zaposlene i obveze prema dobavljačima, čije dospijeće nastupa u srpnju 2026. godine, te na obveze za predujmove, depozite, jamčevne pologe i tuđe prihode.</w:t>
      </w:r>
    </w:p>
    <w:p>
      <w:r>
        <w:t xml:space="preserve">U izvještajnom razdoblju Škola nije imala obveza po osnovi kredita i zajmova niti drugih dugoročnih financijskih obveza. Obveze su podmirivane putem sustava Županijske riznice, u skladu s rokovima dospijeća, te struktura i visina iskazanih obveza ne predstavljaju povećani rizik za stabilnost financijskog poslovanja Škole u narednom razdoblju.</w:t>
      </w:r>
    </w:p>
    <w:p/>
    <w:p>
      <w:pPr>
        <w:jc w:val="center"/>
        <w:pStyle w:val="Normal"/>
        <w:spacing w:line="240" w:lineRule="auto"/>
        <w:keepNext/>
      </w:pPr>
      <w:r>
        <w:rPr>
          <w:sz w:val="28"/>
          <w:rFonts w:ascii="Times New Roman" w:hAnsi="Times New Roman"/>
        </w:rPr>
        <w:t xml:space="preserve">Bilješka 12.</w:t>
      </w:r>
    </w:p>
    <w:p>
      <w:pPr>
        <w:jc w:val="both"/>
        <w:pStyle w:val="Normal"/>
        <w:spacing w:line="240" w:lineRule="auto"/>
      </w:pPr>
      <w:r>
        <w:rPr>
          <w:b/>
          <w:sz w:val="24"/>
          <w:rFonts w:ascii="Times New Roman" w:hAnsi="Times New Roman"/>
        </w:rPr>
        <w:t xml:space="preserve">EU izvještaj</w:t>
      </w:r>
    </w:p>
    <w:p>
      <w:r>
        <w:t xml:space="preserve">U izvještajnom razdoblju Tehnička škola Čakovec provodila je aktivnosti financirane iz sredstava Europske unije kroz program Erasmus+ te projekt „Škola jednakih mogućnosti“.</w:t>
      </w:r>
    </w:p>
    <w:p>
      <w:r>
        <w:t xml:space="preserve">Projekt „Škola jednakih mogućnosti“ nositelj je Međimurska županija, dok Tehnička škola Čakovec sudjeluje u provedbi projekta kao partner te, sukladno uputama nositelja projekta, obračunava i isplaćuje plaće pomoćnicima u nastavi te evidentira prihode i rashode vezane uz provedbu projekta u skladu s važećim propisima proračunskog računovodstva.</w:t>
      </w:r>
    </w:p>
    <w:p>
      <w:r>
        <w:t xml:space="preserve">Rashodi financirani iz sredstava Europske unije odnose se prvenstveno na rashode za zaposlene (plaće pomoćnika u nastavi i pratnju učenika tijekom mobilnosti u okviru programa Erasmus+), materijalne rashode, odnosno naknade troškova osobama izvan radnog odnosa (učenicima), te ostale rashode povezane s provedbom projektnih aktivnosti.</w:t>
      </w:r>
    </w:p>
    <w:p>
      <w:r>
        <w:t xml:space="preserve">Sukladno pravilima programa Erasmus+, prihod se priznaje tek nakon odobrenja završnog izvješća od strane Agencije za mobilnost i programe Europske unije. Do trenutka odobrenja završnog izvješća primljena sredstva evidentiraju se kao predujam, dok se obračunati, a još nepriznati prihodi iskazuju na kontu 96 – Obračunati prihodi poslovanja. Zbog navedenog vremenskog razgraničenja prihoda u izvještajnom razdoblju može biti iskazan manjak prihoda nad rashodima, iako su sredstva za provedbu projekta osigurana.</w:t>
      </w:r>
    </w:p>
    <w:p>
      <w:r>
        <w:t xml:space="preserve">Sredstva Europske unije korištena su namjenski, u skladu s ugovorenim obvezama, odobrenim projektnim aktivnostima i važećim pravilima financiranja Europske unije.</w:t>
      </w:r>
    </w:p>
    <w:p/>
  </w:body>
</w:document>
</file>

<file path=word/styles.xml><?xml version="1.0" encoding="utf-8"?>
<w:styles xmlns:w="http://schemas.openxmlformats.org/wordprocessingml/2006/main">
  <w:docDefaults>
    <w:rPrDefault>
      <w:rPr>
        <w:rFonts w:ascii="Times New Roman" w:hAnsi="Times New Roman"/>
        <w:sz w:val="24"/>
      </w:rPr>
    </w:rPrDefault>
  </w:docDefaults>
  <w:style w:type="paragraph" w:styleId="Normal" w:default="true">
    <w:name w:val="Normal"/>
    <w:rPr>
      <w:rFonts w:ascii="Times New Roman" w:hAnsi="Times New Roman"/>
      <w:sz w:val="24"/>
    </w:rPr>
  </w:style>
</w:styles>
</file>

<file path=word/_rels/document.xml.rels>&#65279;<?xml version="1.0" encoding="utf-8"?><Relationships xmlns="http://schemas.openxmlformats.org/package/2006/relationships"><Relationship Type="http://schemas.openxmlformats.org/officeDocument/2006/relationships/styles" Target="/word/styles.xml" Id="R60c2a639044746ec" /></Relationships>
</file>